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8C69F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0E63A94A" wp14:editId="206228B1">
            <wp:extent cx="7562850" cy="106965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8BB38" w14:textId="77777777" w:rsidR="00076177" w:rsidRDefault="00076177">
      <w:pPr>
        <w:spacing w:after="0" w:line="240" w:lineRule="auto"/>
        <w:rPr>
          <w:sz w:val="10"/>
          <w:szCs w:val="10"/>
        </w:rPr>
      </w:pPr>
    </w:p>
    <w:p w14:paraId="5D233E0A" w14:textId="77777777" w:rsidR="00355E3C" w:rsidRDefault="00355E3C">
      <w:pPr>
        <w:pStyle w:val="Kapitelmarke"/>
      </w:pPr>
    </w:p>
    <w:p w14:paraId="2C0FF8A6" w14:textId="77777777" w:rsidR="00076177" w:rsidRDefault="00000000">
      <w:pPr>
        <w:pStyle w:val="EyebrowLabel"/>
      </w:pPr>
      <w:r>
        <w:t>INHALT</w:t>
      </w:r>
    </w:p>
    <w:p w14:paraId="7BC2CB2C" w14:textId="77777777" w:rsidR="00076177" w:rsidRDefault="00000000">
      <w:pPr>
        <w:pStyle w:val="berschrift1"/>
      </w:pPr>
      <w:bookmarkStart w:id="0" w:name="_Toc237437124"/>
      <w:r>
        <w:t>Inhaltsverzeichnis</w:t>
      </w:r>
      <w:bookmarkEnd w:id="0"/>
    </w:p>
    <w:sdt>
      <w:sdtPr>
        <w:rPr>
          <w:rFonts w:ascii="Source Sans 3" w:eastAsia="Source Sans 3" w:hAnsi="Source Sans 3" w:cs="Source Sans 3"/>
          <w:color w:val="16243A"/>
          <w:sz w:val="20"/>
          <w:szCs w:val="20"/>
        </w:rPr>
        <w:alias w:val="Inhalt"/>
        <w:id w:val="1959602311"/>
        <w:docPartObj>
          <w:docPartGallery w:val="Table of Contents"/>
          <w:docPartUnique/>
        </w:docPartObj>
      </w:sdtPr>
      <w:sdtContent>
        <w:p>
          <w:pPr>
            <w:pStyle w:val="Verzeichnis1"/>
            <w:rPr>
              <w:noProof/>
            </w:rPr>
          </w:pPr>
          <w:r>
            <w:fldChar w:fldCharType="begin"/>
          </w:r>
          <w:r>
            <w:instrText xml:space="preserve">TOC \h \o "1-3"</w:instrText>
          </w:r>
          <w:r>
            <w:fldChar w:fldCharType="separate"/>
          </w:r>
          <w:hyperlink w:anchor="_Toc237437124" w:history="1">
            <w:r>
              <w:rPr>
                <w:rStyle w:val="Hyperlink"/>
                <w:noProof/>
              </w:rPr>
              <w:t xml:space="preserve">Inhaltsverzeichnis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_Toc237437124 \h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>
          <w:pPr>
            <w:pStyle w:val="Verzeichnis1"/>
            <w:rPr>
              <w:noProof/>
            </w:rPr>
          </w:pPr>
          <w:hyperlink w:anchor="_Toc237437241" w:history="1">
            <w:r>
              <w:rPr>
                <w:rStyle w:val="Hyperlink"/>
                <w:noProof/>
              </w:rPr>
              <w:t xml:space="preserve">13 K360° Präsentation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_Toc237437241 \h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>
          <w:pPr>
            <w:pStyle w:val="Verzeichnis2"/>
            <w:rPr>
              <w:noProof/>
            </w:rPr>
          </w:pPr>
          <w:hyperlink w:anchor="_Toc237437242" w:history="1">
            <w:r>
              <w:rPr>
                <w:rStyle w:val="Hyperlink"/>
                <w:noProof/>
              </w:rPr>
              <w:t xml:space="preserve">13.1 Register „Übersicht“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_Toc237437242 \h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>
          <w:pPr>
            <w:pStyle w:val="Verzeichnis2"/>
            <w:rPr>
              <w:noProof/>
            </w:rPr>
          </w:pPr>
          <w:hyperlink w:anchor="_Toc237437243" w:history="1">
            <w:r>
              <w:rPr>
                <w:rStyle w:val="Hyperlink"/>
                <w:noProof/>
              </w:rPr>
              <w:t xml:space="preserve">13.2 Register „Präsentation bearbeiten“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_Toc237437243 \h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>
          <w:pPr>
            <w:pStyle w:val="Verzeichnis2"/>
            <w:rPr>
              <w:noProof/>
            </w:rPr>
          </w:pPr>
          <w:hyperlink w:anchor="_Toc237437244" w:history="1">
            <w:r>
              <w:rPr>
                <w:rStyle w:val="Hyperlink"/>
                <w:noProof/>
              </w:rPr>
              <w:t xml:space="preserve">13.3 Der Präsentationsmodus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_Toc237437244 \h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>
          <w:pPr>
            <w:pStyle w:val="Verzeichnis2"/>
            <w:rPr>
              <w:noProof/>
            </w:rPr>
          </w:pPr>
          <w:hyperlink w:anchor="_Toc237437245" w:history="1">
            <w:r>
              <w:rPr>
                <w:rStyle w:val="Hyperlink"/>
                <w:noProof/>
              </w:rPr>
              <w:t xml:space="preserve">13.4 Folienauswahl und Folienbestand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_Toc237437245 \h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>
          <w:pPr>
            <w:pStyle w:val="Verzeichnis1"/>
            <w:rPr>
              <w:noProof/>
            </w:rPr>
          </w:pPr>
          <w:r>
            <w:fldChar w:fldCharType="end"/>
          </w:r>
        </w:p>
      </w:sdtContent>
    </w:sdt>
    <w:p w14:paraId="74E0C6CD" w14:textId="77777777" w:rsidR="00355E3C" w:rsidRDefault="00355E3C">
      <w:pPr>
        <w:pStyle w:val="Kapitelmarke"/>
        <w:pageBreakBefore/>
      </w:pPr>
    </w:p>
    <w:p w14:paraId="6E37AC38" w14:textId="77777777" w:rsidR="00076177" w:rsidRDefault="00000000">
      <w:pPr>
        <w:pStyle w:val="EyebrowLabel"/>
      </w:pPr>
      <w:r>
        <w:t>KAPITEL 13</w:t>
      </w:r>
    </w:p>
    <w:p w14:paraId="68D6C306" w14:textId="77777777" w:rsidR="00076177" w:rsidRDefault="00000000">
      <w:pPr>
        <w:pStyle w:val="berschrift1"/>
      </w:pPr>
      <w:bookmarkStart w:id="117" w:name="_Toc237437241"/>
      <w:r>
        <w:t>13 K360° Präsentation</w:t>
      </w:r>
      <w:bookmarkEnd w:id="117"/>
    </w:p>
    <w:p w14:paraId="12049F90" w14:textId="77777777" w:rsidR="00076177" w:rsidRDefault="00000000">
      <w:pPr>
        <w:pStyle w:val="EinleitungLead"/>
      </w:pPr>
      <w:r>
        <w:t>Die „K360° Präsentation“ bündelt Auswertungen aus kontool zu vorführbereiten Präsentationen – etwa für das Bankgespräch oder das Jahresgespräch mit dem Mandanten.</w:t>
      </w:r>
    </w:p>
    <w:p w14:paraId="566A1DBE" w14:textId="77777777" w:rsidR="00076177" w:rsidRDefault="00000000">
      <w:pPr>
        <w:pStyle w:val="Fliesstext"/>
      </w:pPr>
      <w:r>
        <w:t>Die Kanzlei stellt Folien aus Grafiken und Tabellen zusammen, gibt einzelne Präsentationen für Mandantennutzer frei und führt sie in einem eigenen Vorführmodus vor. Der Bereich kennt zwei Betriebsarten: die Bearbeitungsansicht mit dem Register „Präsentation bearbeiten“ und den Vorführmodus, den Sie über „Jetzt präsentieren“ oder das Zeilenmenü starten. Die Beispieldaten stammen aus dem Demo-Mandanten „Musterküchen GmbH“.</w:t>
      </w:r>
    </w:p>
    <w:p w14:paraId="4003F856" w14:textId="77777777" w:rsidR="00076177" w:rsidRDefault="00000000">
      <w:pPr>
        <w:pStyle w:val="Fliesstext"/>
      </w:pPr>
      <w:r>
        <w:t>Der Seitenkopf enthält die Register „Übersicht“ und „Präsentation bearbeiten“ sowie rechts die Schaltflächen „▶ Jetzt präsentieren“ und „✎ Kanzlei-Design“ (Tooltip: „Erstellen Sie hier Farbvorlagen für Präsentationen in Ihrem Kanzlei-Design, z.B. mit Ihrem Logo.“).</w:t>
      </w:r>
    </w:p>
    <w:p w14:paraId="735ACDCF" w14:textId="77777777" w:rsidR="00076177" w:rsidRDefault="00000000">
      <w:pPr>
        <w:pStyle w:val="berschrift2"/>
      </w:pPr>
      <w:bookmarkStart w:id="118" w:name="_Toc237437242"/>
      <w:r>
        <w:t>13.1 Register „Übersicht“</w:t>
      </w:r>
      <w:bookmarkEnd w:id="118"/>
    </w:p>
    <w:p w14:paraId="7D9684D8" w14:textId="77777777" w:rsidR="00076177" w:rsidRDefault="00000000">
      <w:pPr>
        <w:pStyle w:val="Fliesstext"/>
      </w:pPr>
      <w:r>
        <w:t>Das Register „Übersicht“ listet die Präsentationen des Mandanten. Der Kartenkopf nennt den Mandantennamen „Musterküchen GmbH“ mit der Kennung „29098_55039“ und bietet die Schaltflächen „+ Präsentation erstellen“ und „Mandantenlogo festlegen“. Darunter filtert die Zeile „Für Mandantennutzer freigegeben:“ mit den Umschaltbuttons „Alle“ (aktiv), „Ja“ und „Nein“; ein Suchfeld „Suche…“ mit Lupensymbol durchsucht die Liste. Die Tabelle hat die Spalten „Präsentation“ und „Für Mandantennutzer freigegeben“.</w:t>
      </w:r>
    </w:p>
    <w:p w14:paraId="12733C0C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06545E10" wp14:editId="6DA94E32">
            <wp:extent cx="5867400" cy="2619375"/>
            <wp:effectExtent l="0" t="0" r="0" b="0"/>
            <wp:docPr id="71255796" name="Grafik 71255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69D34949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224: </w:t>
      </w:r>
      <w:r>
        <w:t>Präsentationsübersicht mit Freigabefilter und Suchfeld</w:t>
      </w:r>
    </w:p>
    <w:p w14:paraId="69AF66CF" w14:textId="77777777" w:rsidR="00076177" w:rsidRDefault="00000000">
      <w:pPr>
        <w:pStyle w:val="Fliesstext"/>
      </w:pPr>
      <w:r>
        <w:t xml:space="preserve">Jede Zeile zeigt den Präsentationsnamen mit dem Zeitraum als Unterzeile und trägt vier Bedienelemente: ein Freigabe-Kontrollkästchen, die Schaltfläche „Präsentation bearbeiten“ </w:t>
      </w:r>
      <w:r>
        <w:lastRenderedPageBreak/>
        <w:t>(Bildschirmsymbol), die Schaltfläche „Einstellungen bearbeiten“ (Zahnradsymbol) und einen Aufklapp-Pfeil (▾). In der Demo existieren sieben Präsentationen – von „Bankenreporting“ (2021 – 2026, freigegeben) bis „umsatz [Entwurf]“ (2023 – 2025); Präsentationen mit dem Zusatz „[Entwurf]“ sind nicht für Mandantennutzer freigegeben. Unter der Liste erscheint der Schaltfläche „+ Weitere Präsentationen laden“.</w:t>
      </w:r>
    </w:p>
    <w:p w14:paraId="0908059E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1329D1D2" wp14:editId="4663304B">
            <wp:extent cx="5867400" cy="2619375"/>
            <wp:effectExtent l="0" t="0" r="0" b="0"/>
            <wp:docPr id="522863654" name="Grafik 52286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13CC3FE4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225: </w:t>
      </w:r>
      <w:r>
        <w:t>Untere Präsentationsliste mit dem Schaltfläche „+ Weitere Präsentationen laden“</w:t>
      </w:r>
    </w:p>
    <w:p w14:paraId="1DBBB7DE" w14:textId="77777777" w:rsidR="00076177" w:rsidRDefault="00000000">
      <w:pPr>
        <w:pStyle w:val="Fliesstext"/>
      </w:pPr>
      <w:r>
        <w:t>Der Aufklapp-Pfeil einer Zeile öffnet das Zeilenmenü mit den Einträgen „▶ Präsentation starten“, „Freigabe beenden“ (Teilen-Symbol), „Einstellungen bearbeiten“ (Zahnrad), „Folienreihenfolge ändern“, „Präsentation duplizieren“ und „Präsentation löschen“.</w:t>
      </w:r>
    </w:p>
    <w:p w14:paraId="45896F4E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66408044" wp14:editId="5385946F">
            <wp:extent cx="5867400" cy="2619375"/>
            <wp:effectExtent l="0" t="0" r="0" b="0"/>
            <wp:docPr id="793400534" name="Grafik 793400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447FCAE4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226: </w:t>
      </w:r>
      <w:r>
        <w:t>Zeilenmenü der Präsentation „Bankenreporting“</w:t>
      </w:r>
    </w:p>
    <w:p w14:paraId="75977892" w14:textId="77777777" w:rsidR="00076177" w:rsidRDefault="00000000">
      <w:pPr>
        <w:pStyle w:val="berschrift2"/>
      </w:pPr>
      <w:bookmarkStart w:id="119" w:name="_Toc237437243"/>
      <w:r>
        <w:t>13.2 Register „Präsentation bearbeiten“</w:t>
      </w:r>
      <w:bookmarkEnd w:id="119"/>
    </w:p>
    <w:p w14:paraId="4EF980E2" w14:textId="77777777" w:rsidR="00076177" w:rsidRDefault="00000000">
      <w:pPr>
        <w:pStyle w:val="Fliesstext"/>
      </w:pPr>
      <w:r>
        <w:t xml:space="preserve">Im Register „Präsentation bearbeiten“ stellen Sie die Folien zusammen. Die Kopfkarte nennt Präsentation, Zeitraum und Mandant („Bankenreporting / 2021 – 2026 / Musterküchen GmbH“) und bietet rechts einen Wiedergabe-Schaltfläche (▶), den Schaltfläche „⇄ Präsentation wechseln“ und ein Export-Symbol. Die Werkzeugleiste enthält „✎ Folie </w:t>
      </w:r>
      <w:r>
        <w:lastRenderedPageBreak/>
        <w:t>bearbeiten“, „✛ Folie verschieben“, „⧉ Folie duplizieren“, „🗑 Folie löschen“ und rechts „+ Folie erstellen“. Darunter liegt die Folienleiste: links der Folientitel, mittig „← Folie zurück“ und „Folie weiter →“, rechts das Folienauswahl-Dropdown. Jede Inhaltskarte der Folie trägt ein Stift-Symbol zum Bearbeiten und einen Einklapp-Pfeil.</w:t>
      </w:r>
    </w:p>
    <w:p w14:paraId="54D24414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469C3719" wp14:editId="71FA8C93">
            <wp:extent cx="5867400" cy="2619375"/>
            <wp:effectExtent l="0" t="0" r="0" b="0"/>
            <wp:docPr id="1513547290" name="Grafik 1513547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218A9546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227: </w:t>
      </w:r>
      <w:r>
        <w:t>Bearbeitungsansicht mit Werkzeugleiste und Folienleiste</w:t>
      </w:r>
    </w:p>
    <w:p w14:paraId="5C8D6862" w14:textId="77777777" w:rsidR="00076177" w:rsidRDefault="00000000">
      <w:pPr>
        <w:pStyle w:val="berschrift2"/>
      </w:pPr>
      <w:bookmarkStart w:id="120" w:name="_Toc237437244"/>
      <w:r>
        <w:t>13.3 Der Präsentationsmodus</w:t>
      </w:r>
      <w:bookmarkEnd w:id="120"/>
    </w:p>
    <w:p w14:paraId="37EA5C28" w14:textId="77777777" w:rsidR="00076177" w:rsidRDefault="00000000">
      <w:pPr>
        <w:pStyle w:val="Fliesstext"/>
      </w:pPr>
      <w:r>
        <w:t>„▶ Jetzt präsentieren“ (oder der Eintrag „Präsentation starten“ im Zeilenmenü) startet den Vorführmodus. Dort fehlen die linke Hauptnavigation und die Werkzeugleiste; es bleibt die obere Steuerleiste mit den Schaltflächen „Mandant öffnen“, „Präsentation herunterladen“, „Präsentation wechseln“ und „Präsentation beenden“. Die Kopfzeile zeigt „Bankenreporting / 2021 – 2026 / Musterküchen GmbH“ mit dem kantiko-Logo. Einen eigenen Vollbild-Schalter gibt es nicht; der Vorführmodus nutzt die gesamte Seitenbreite.</w:t>
      </w:r>
    </w:p>
    <w:p w14:paraId="34DE3B3B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33EFE315" wp14:editId="14E763E3">
            <wp:extent cx="5867400" cy="2619375"/>
            <wp:effectExtent l="0" t="0" r="0" b="0"/>
            <wp:docPr id="75025137" name="Grafik 75025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4C9311F6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228: </w:t>
      </w:r>
      <w:r>
        <w:t>Vorführmodus mit Folie 1 „Erfolgsrechnung Rohertrag“</w:t>
      </w:r>
    </w:p>
    <w:p w14:paraId="4124E7CE" w14:textId="77777777" w:rsidR="00076177" w:rsidRDefault="00000000">
      <w:pPr>
        <w:pStyle w:val="Fliesstext"/>
      </w:pPr>
      <w:r>
        <w:t xml:space="preserve">Zur Foliennavigation stehen drei Wege bereit: die Schaltflächen „← Folie zurück“ und „Folie weiter →“, das Folienauswahl-Dropdown rechts sowie – im Bearbeitungsmodus – der </w:t>
      </w:r>
      <w:r>
        <w:lastRenderedPageBreak/>
        <w:t>Menüpunkt „Folienreihenfolge ändern“. Jede Inhaltskarte einer Folie lässt sich über ihren Einklapp-Pfeil zusammenklappen. Die folgende Abbildung zeigt eine weitere Folie mit Grafik- und Tabellenkarte; die Werte für 2024 fallen auffällig niedrig aus, weil der Demo-Mandant für dieses Jahr nur Rumpfdaten enthält.</w:t>
      </w:r>
    </w:p>
    <w:p w14:paraId="3FDD90B8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0BEFCB58" wp14:editId="09589436">
            <wp:extent cx="5867400" cy="2619375"/>
            <wp:effectExtent l="0" t="0" r="0" b="0"/>
            <wp:docPr id="81400508" name="Grafik 8140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3205B63D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229: </w:t>
      </w:r>
      <w:r>
        <w:t>Folie „Erfolgsrechnung Aufwand“ mit Grafik- und Tabellenkarte</w:t>
      </w:r>
    </w:p>
    <w:p w14:paraId="202D225F" w14:textId="77777777" w:rsidR="00076177" w:rsidRDefault="00000000">
      <w:pPr>
        <w:pStyle w:val="Fliesstext"/>
      </w:pPr>
      <w:r>
        <w:t>Die Schaltfläche „Präsentation wechseln“ öffnet ein Modal mit dem Text „Wechseln Sie hier die aktuelle Präsentation.“, den Auswahlfeldern „Mandant wählen:“ (Musterküchen GmbH) und „Präsentation wählen:“ (Bankenreporting) sowie den Schaltflächen „Wechseln“ und „Abbrechen“.</w:t>
      </w:r>
    </w:p>
    <w:p w14:paraId="7E8C52AD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263A99A9" wp14:editId="3125AB28">
            <wp:extent cx="5867400" cy="2619375"/>
            <wp:effectExtent l="0" t="0" r="0" b="0"/>
            <wp:docPr id="898289099" name="Grafik 898289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684CB194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230: </w:t>
      </w:r>
      <w:r>
        <w:t>Modal „Präsentation wechseln“ mit Mandanten- und Präsentationsauswahl</w:t>
      </w:r>
    </w:p>
    <w:p w14:paraId="614568FC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lastRenderedPageBreak/>
        <w:drawing>
          <wp:inline distT="0" distB="0" distL="0" distR="0" wp14:anchorId="0D23F14E" wp14:editId="36ECF3A9">
            <wp:extent cx="5867400" cy="2619375"/>
            <wp:effectExtent l="0" t="0" r="0" b="0"/>
            <wp:docPr id="846793560" name="Grafik 846793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3ED96CCE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231: </w:t>
      </w:r>
      <w:r>
        <w:t>Steuerleiste des Vorführmodus</w:t>
      </w:r>
    </w:p>
    <w:p w14:paraId="362FEBD6" w14:textId="77777777" w:rsidR="00076177" w:rsidRDefault="00000000">
      <w:pPr>
        <w:pStyle w:val="berschrift2"/>
      </w:pPr>
      <w:bookmarkStart w:id="121" w:name="_Toc237437245"/>
      <w:r>
        <w:t>13.4 Folienauswahl und Folienbestand</w:t>
      </w:r>
      <w:bookmarkEnd w:id="121"/>
    </w:p>
    <w:p w14:paraId="677731C7" w14:textId="77777777" w:rsidR="00076177" w:rsidRDefault="00000000">
      <w:pPr>
        <w:pStyle w:val="Fliesstext"/>
      </w:pPr>
      <w:r>
        <w:t>Das Folienauswahl-Dropdown zeigt eine scrollbare Liste aller Folien; je Eintrag stehen der Folientitel (fett) und darunter die enthaltenen Inhaltselemente – so sehen Sie vor dem Sprung, welche Grafiken und Tabellen eine Folie enthält.</w:t>
      </w:r>
    </w:p>
    <w:p w14:paraId="62BD929B" w14:textId="77777777" w:rsidR="00076177" w:rsidRDefault="00000000">
      <w:pPr>
        <w:keepNext/>
        <w:spacing w:before="160" w:after="60" w:line="240" w:lineRule="auto"/>
      </w:pPr>
      <w:r>
        <w:rPr>
          <w:noProof/>
        </w:rPr>
        <w:drawing>
          <wp:inline distT="0" distB="0" distL="0" distR="0" wp14:anchorId="3B4C6852" wp14:editId="7D4AE807">
            <wp:extent cx="5867400" cy="2619375"/>
            <wp:effectExtent l="0" t="0" r="0" b="0"/>
            <wp:docPr id="595205342" name="Grafik 595205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19375"/>
                    </a:xfrm>
                    <a:prstGeom prst="rect">
                      <a:avLst/>
                    </a:prstGeom>
                    <a:ln w="6350" cap="flat">
                      <a:solidFill>
                        <a:srgbClr val="E4E0D6"/>
                      </a:solidFill>
                    </a:ln>
                  </pic:spPr>
                </pic:pic>
              </a:graphicData>
            </a:graphic>
          </wp:inline>
        </w:drawing>
      </w:r>
    </w:p>
    <w:p w14:paraId="1DAE330E" w14:textId="77777777" w:rsidR="00076177" w:rsidRDefault="00000000">
      <w:pPr>
        <w:pStyle w:val="Bildunterschrift"/>
      </w:pPr>
      <w:r>
        <w:rPr>
          <w:b/>
          <w:bCs/>
          <w:color w:val="0B2239"/>
        </w:rPr>
        <w:t xml:space="preserve">Abbildung 232: </w:t>
      </w:r>
      <w:r>
        <w:t>Geöffnetes Folienauswahl-Dropdown mit Titeln und Inhaltselementen</w:t>
      </w:r>
    </w:p>
    <w:p w14:paraId="3EE96565" w14:textId="77777777" w:rsidR="00076177" w:rsidRDefault="00000000">
      <w:pPr>
        <w:pStyle w:val="Fliesstext"/>
      </w:pPr>
      <w:r>
        <w:t>Die Demo-Präsentation „Bankenreporting“ umfasst 35 Folien. Statt einer Aufzählung aller Titel fasst die folgende Tabelle den Bestand nach Themenblöcken zusammen:</w:t>
      </w:r>
    </w:p>
    <w:tbl>
      <w:tblPr>
        <w:tblW w:w="9639" w:type="dxa"/>
        <w:tblBorders>
          <w:top w:val="single" w:sz="4" w:space="0" w:color="E4E0D6"/>
          <w:left w:val="nil"/>
          <w:bottom w:val="single" w:sz="4" w:space="0" w:color="E4E0D6"/>
          <w:right w:val="nil"/>
          <w:insideH w:val="single" w:sz="4" w:space="0" w:color="E4E0D6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3213"/>
      </w:tblGrid>
      <w:tr w:rsidR="00076177" w14:paraId="40F8B115" w14:textId="77777777">
        <w:trPr>
          <w:cantSplit/>
          <w:tblHeader/>
        </w:trPr>
        <w:tc>
          <w:tcPr>
            <w:tcW w:w="3213" w:type="dxa"/>
            <w:tcBorders>
              <w:top w:val="single" w:sz="4" w:space="0" w:color="0B2239"/>
              <w:left w:val="single" w:sz="4" w:space="0" w:color="0B2239"/>
              <w:bottom w:val="single" w:sz="4" w:space="0" w:color="0B2239"/>
              <w:right w:val="nil"/>
            </w:tcBorders>
            <w:shd w:val="clear" w:color="auto" w:fill="0B2239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1AE3AE35" w14:textId="77777777" w:rsidR="00076177" w:rsidRDefault="00000000">
            <w:pPr>
              <w:pStyle w:val="Tabellenkopf"/>
            </w:pPr>
            <w:r>
              <w:t>Themenblock</w:t>
            </w:r>
          </w:p>
        </w:tc>
        <w:tc>
          <w:tcPr>
            <w:tcW w:w="3213" w:type="dxa"/>
            <w:tcBorders>
              <w:top w:val="single" w:sz="4" w:space="0" w:color="0B2239"/>
              <w:left w:val="nil"/>
              <w:bottom w:val="single" w:sz="4" w:space="0" w:color="0B2239"/>
              <w:right w:val="nil"/>
            </w:tcBorders>
            <w:shd w:val="clear" w:color="auto" w:fill="0B2239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2B9EEAEA" w14:textId="77777777" w:rsidR="00076177" w:rsidRDefault="00000000">
            <w:pPr>
              <w:pStyle w:val="Tabellenkopf"/>
            </w:pPr>
            <w:r>
              <w:t>Folien (Nr.)</w:t>
            </w:r>
          </w:p>
        </w:tc>
        <w:tc>
          <w:tcPr>
            <w:tcW w:w="3213" w:type="dxa"/>
            <w:tcBorders>
              <w:top w:val="single" w:sz="4" w:space="0" w:color="0B2239"/>
              <w:left w:val="nil"/>
              <w:bottom w:val="single" w:sz="4" w:space="0" w:color="0B2239"/>
              <w:right w:val="single" w:sz="4" w:space="0" w:color="0B2239"/>
            </w:tcBorders>
            <w:shd w:val="clear" w:color="auto" w:fill="0B2239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0AA6EDAD" w14:textId="77777777" w:rsidR="00076177" w:rsidRDefault="00000000">
            <w:pPr>
              <w:pStyle w:val="Tabellenkopf"/>
            </w:pPr>
            <w:r>
              <w:t>Inhalte (Beispiele)</w:t>
            </w:r>
          </w:p>
        </w:tc>
      </w:tr>
      <w:tr w:rsidR="00076177" w14:paraId="00B77606" w14:textId="77777777"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FAE450D" w14:textId="77777777" w:rsidR="00076177" w:rsidRDefault="00000000">
            <w:pPr>
              <w:pStyle w:val="Tabellentext"/>
            </w:pPr>
            <w:r>
              <w:t>Erfolgsrechnung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B9BD611" w14:textId="77777777" w:rsidR="00076177" w:rsidRDefault="00000000">
            <w:pPr>
              <w:pStyle w:val="Tabellentext"/>
            </w:pPr>
            <w:r>
              <w:t>1–9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4703BEB" w14:textId="77777777" w:rsidR="00076177" w:rsidRDefault="00000000">
            <w:pPr>
              <w:pStyle w:val="Tabellentext"/>
            </w:pPr>
            <w:r>
              <w:t>Rohertrag, Aufwand, Aufwandsstruktur, Ergebnisse, Betriebsleistung/variable Kosten, Gesamtleistung/Personalaufwand, Gesamtleistung/So. Aufwand, Steuern, Steuerbelastung</w:t>
            </w:r>
          </w:p>
        </w:tc>
      </w:tr>
      <w:tr w:rsidR="00076177" w14:paraId="38C086C0" w14:textId="77777777"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9377AE1" w14:textId="77777777" w:rsidR="00076177" w:rsidRDefault="00000000">
            <w:pPr>
              <w:pStyle w:val="Tabellentext"/>
            </w:pPr>
            <w:r>
              <w:lastRenderedPageBreak/>
              <w:t>Bilanz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071D426" w14:textId="77777777" w:rsidR="00076177" w:rsidRDefault="00000000">
            <w:pPr>
              <w:pStyle w:val="Tabellentext"/>
            </w:pPr>
            <w:r>
              <w:t>10–16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9E45C95" w14:textId="77777777" w:rsidR="00076177" w:rsidRDefault="00000000">
            <w:pPr>
              <w:pStyle w:val="Tabellentext"/>
            </w:pPr>
            <w:r>
              <w:t>Bilanz Aktiva, Anlagevermögen (mit Anlagendeckungsgrad), Entwicklung Forderungen, Bilanz Passiva, Entwicklung Verbindlichkeiten, Kennzahlen Bilanz, Eigenkapital (mit Eigenkapitalquote)</w:t>
            </w:r>
          </w:p>
        </w:tc>
      </w:tr>
      <w:tr w:rsidR="00076177" w14:paraId="049F1726" w14:textId="77777777"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CFE4D70" w14:textId="77777777" w:rsidR="00076177" w:rsidRDefault="00000000">
            <w:pPr>
              <w:pStyle w:val="Tabellentext"/>
            </w:pPr>
            <w:r>
              <w:t>Cash Flow und Gesamtschau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2EDABC9" w14:textId="77777777" w:rsidR="00076177" w:rsidRDefault="00000000">
            <w:pPr>
              <w:pStyle w:val="Tabellentext"/>
            </w:pPr>
            <w:r>
              <w:t>17–20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2E41FA8" w14:textId="77777777" w:rsidR="00076177" w:rsidRDefault="00000000">
            <w:pPr>
              <w:pStyle w:val="Tabellentext"/>
            </w:pPr>
            <w:r>
              <w:t>Kennzahlen Cash Flow I und II (mit Working Capital), „Wohin ist mein Geld?“, Jahresauswertung</w:t>
            </w:r>
          </w:p>
        </w:tc>
      </w:tr>
      <w:tr w:rsidR="00076177" w14:paraId="39C5E531" w14:textId="77777777"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647B93D" w14:textId="77777777" w:rsidR="00076177" w:rsidRDefault="00000000">
            <w:pPr>
              <w:pStyle w:val="Tabellentext"/>
            </w:pPr>
            <w:r>
              <w:t>Management Summary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89A3EFA" w14:textId="77777777" w:rsidR="00076177" w:rsidRDefault="00000000">
            <w:pPr>
              <w:pStyle w:val="Tabellentext"/>
            </w:pPr>
            <w:r>
              <w:t>21–22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06EE7F9" w14:textId="77777777" w:rsidR="00076177" w:rsidRDefault="00000000">
            <w:pPr>
              <w:pStyle w:val="Tabellentext"/>
            </w:pPr>
            <w:r>
              <w:t>Management Summary Erfolgsrechnung (Kurz-GuV, Kennzahlen, Kommentare), Management Summary Bilanz</w:t>
            </w:r>
          </w:p>
        </w:tc>
      </w:tr>
      <w:tr w:rsidR="00076177" w14:paraId="35D6741F" w14:textId="77777777"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7F6694E" w14:textId="77777777" w:rsidR="00076177" w:rsidRDefault="00000000">
            <w:pPr>
              <w:pStyle w:val="Tabellentext"/>
            </w:pPr>
            <w:r>
              <w:t>Anteils- und Detailfolien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332DF34" w14:textId="77777777" w:rsidR="00076177" w:rsidRDefault="00000000">
            <w:pPr>
              <w:pStyle w:val="Tabellentext"/>
            </w:pPr>
            <w:r>
              <w:t>23–33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1A9B020" w14:textId="77777777" w:rsidR="00076177" w:rsidRDefault="00000000">
            <w:pPr>
              <w:pStyle w:val="Tabellentext"/>
            </w:pPr>
            <w:r>
              <w:t>Anteil Erfolgsrechnung, Anteil Aktiva, Anteil Passiva, Erfolgsrechnung Aufwand Teil I/II, Aufwandsstruktur Teil II, Neutral und Zinsen, GuV – Erträge im Vergleich, Aufwand – Positionen, Umsatz Jahre, BWA</w:t>
            </w:r>
          </w:p>
        </w:tc>
      </w:tr>
      <w:tr w:rsidR="00076177" w14:paraId="7770D6A5" w14:textId="77777777"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F31A173" w14:textId="77777777" w:rsidR="00076177" w:rsidRDefault="00000000">
            <w:pPr>
              <w:pStyle w:val="Tabellentext"/>
            </w:pPr>
            <w:r>
              <w:t>Platzhalter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E0BB0F7" w14:textId="77777777" w:rsidR="00076177" w:rsidRDefault="00000000">
            <w:pPr>
              <w:pStyle w:val="Tabellentext"/>
            </w:pPr>
            <w:r>
              <w:t>34–35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E4E0D6"/>
              <w:right w:val="nil"/>
            </w:tcBorders>
            <w:shd w:val="clear" w:color="auto" w:fill="FBFAF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190B4B2" w14:textId="77777777" w:rsidR="00076177" w:rsidRDefault="00000000">
            <w:pPr>
              <w:pStyle w:val="Tabellentext"/>
            </w:pPr>
            <w:r>
              <w:t>Zwei unbenannte Folien mit dem Titel „Folienttitel“ [Schreibweise der Anwendung]</w:t>
            </w:r>
          </w:p>
        </w:tc>
      </w:tr>
    </w:tbl>
    <w:sectPr w:rsidR="00076177">
      <w:headerReference w:type="default" r:id="rId262"/>
      <w:footerReference w:type="default" r:id="rId263"/>
      <w:pgSz w:w="11906" w:h="16838"/>
      <w:pgMar w:top="1134" w:right="1134" w:bottom="1134" w:left="1134" w:header="680" w:footer="68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525E1" w14:textId="77777777" w:rsidR="00110903" w:rsidRDefault="00110903">
      <w:pPr>
        <w:spacing w:after="0" w:line="240" w:lineRule="auto"/>
      </w:pPr>
      <w:r>
        <w:separator/>
      </w:r>
    </w:p>
  </w:endnote>
  <w:endnote w:type="continuationSeparator" w:id="0">
    <w:p w14:paraId="4805466D" w14:textId="77777777" w:rsidR="00110903" w:rsidRDefault="0011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3">
    <w:altName w:val="Cambria"/>
    <w:panose1 w:val="00000000000000000000"/>
    <w:charset w:val="00"/>
    <w:family w:val="roman"/>
    <w:notTrueType/>
    <w:pitch w:val="default"/>
  </w:font>
  <w:font w:name="Source Serif 4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ED1B" w14:textId="77777777" w:rsidR="00355E3C" w:rsidRDefault="00000000">
    <w:pPr>
      <w:pStyle w:val="Fusszeilekontool"/>
    </w:pPr>
    <w:r>
      <w:t>kontool · Benutzerhandbuch</w:t>
    </w:r>
    <w:r>
      <w:tab/>
    </w:r>
    <w:r>
      <w:rPr>
        <w:b/>
        <w:bCs/>
        <w:color w:val="0B2239"/>
      </w:rPr>
      <w:fldChar w:fldCharType="begin"/>
    </w:r>
    <w:r>
      <w:rPr>
        <w:b/>
        <w:bCs/>
        <w:color w:val="0B2239"/>
      </w:rPr>
      <w:instrText>PAGE</w:instrText>
    </w:r>
    <w:r>
      <w:rPr>
        <w:b/>
        <w:bCs/>
        <w:color w:val="0B2239"/>
      </w:rPr>
      <w:fldChar w:fldCharType="separate"/>
    </w:r>
    <w:r>
      <w:rPr>
        <w:b/>
        <w:bCs/>
        <w:color w:val="0B2239"/>
      </w:rPr>
      <w:t>1</w:t>
    </w:r>
    <w:r>
      <w:rPr>
        <w:b/>
        <w:bCs/>
        <w:color w:val="0B223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0E473" w14:textId="77777777" w:rsidR="00110903" w:rsidRDefault="00110903">
      <w:pPr>
        <w:spacing w:after="0" w:line="240" w:lineRule="auto"/>
      </w:pPr>
      <w:r>
        <w:separator/>
      </w:r>
    </w:p>
  </w:footnote>
  <w:footnote w:type="continuationSeparator" w:id="0">
    <w:p w14:paraId="70001EF3" w14:textId="77777777" w:rsidR="00110903" w:rsidRDefault="00110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B0FC" w14:textId="77777777" w:rsidR="00355E3C" w:rsidRDefault="00000000">
    <w:pPr>
      <w:pStyle w:val="Kopfzeilekontool"/>
    </w:pPr>
    <w:r>
      <w:tab/>
    </w:r>
    <w:r>
      <w:rPr>
        <w:noProof/>
      </w:rPr>
      <w:drawing>
        <wp:inline distT="0" distB="0" distL="0" distR="0" wp14:anchorId="6EC69A50" wp14:editId="541AE466">
          <wp:extent cx="936000" cy="191622"/>
          <wp:effectExtent l="0" t="0" r="0" b="0"/>
          <wp:docPr id="11300255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arin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91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A60CB"/>
    <w:multiLevelType w:val="hybridMultilevel"/>
    <w:tmpl w:val="774652DE"/>
    <w:lvl w:ilvl="0" w:tplc="6242134C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1" w:tplc="94C6DE12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2" w:tplc="0B02CE98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3" w:tplc="2AE4CA46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4" w:tplc="6F6270A4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5" w:tplc="A46EBB06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6" w:tplc="54F48A62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7" w:tplc="74AA09DC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8" w:tplc="781E804A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</w:abstractNum>
  <w:abstractNum w:abstractNumId="1" w15:restartNumberingAfterBreak="0">
    <w:nsid w:val="140F2C66"/>
    <w:multiLevelType w:val="hybridMultilevel"/>
    <w:tmpl w:val="E1ECBB52"/>
    <w:lvl w:ilvl="0" w:tplc="D26E69F4">
      <w:start w:val="1"/>
      <w:numFmt w:val="bullet"/>
      <w:lvlText w:val="·"/>
      <w:lvlJc w:val="left"/>
      <w:pPr>
        <w:ind w:left="320" w:hanging="200"/>
      </w:pPr>
      <w:rPr>
        <w:rFonts w:ascii="Source Sans 3" w:eastAsia="Source Sans 3" w:hAnsi="Source Sans 3" w:cs="Source Sans 3"/>
        <w:b/>
        <w:bCs/>
        <w:color w:val="9A9486"/>
      </w:rPr>
    </w:lvl>
    <w:lvl w:ilvl="1" w:tplc="2416C5AC">
      <w:numFmt w:val="decimal"/>
      <w:lvlText w:val=""/>
      <w:lvlJc w:val="left"/>
    </w:lvl>
    <w:lvl w:ilvl="2" w:tplc="D3B8EA94">
      <w:numFmt w:val="decimal"/>
      <w:lvlText w:val=""/>
      <w:lvlJc w:val="left"/>
    </w:lvl>
    <w:lvl w:ilvl="3" w:tplc="E0280AA6">
      <w:numFmt w:val="decimal"/>
      <w:lvlText w:val=""/>
      <w:lvlJc w:val="left"/>
    </w:lvl>
    <w:lvl w:ilvl="4" w:tplc="EE609648">
      <w:numFmt w:val="decimal"/>
      <w:lvlText w:val=""/>
      <w:lvlJc w:val="left"/>
    </w:lvl>
    <w:lvl w:ilvl="5" w:tplc="D5F83468">
      <w:numFmt w:val="decimal"/>
      <w:lvlText w:val=""/>
      <w:lvlJc w:val="left"/>
    </w:lvl>
    <w:lvl w:ilvl="6" w:tplc="EB14ECE0">
      <w:numFmt w:val="decimal"/>
      <w:lvlText w:val=""/>
      <w:lvlJc w:val="left"/>
    </w:lvl>
    <w:lvl w:ilvl="7" w:tplc="0A220FC8">
      <w:numFmt w:val="decimal"/>
      <w:lvlText w:val=""/>
      <w:lvlJc w:val="left"/>
    </w:lvl>
    <w:lvl w:ilvl="8" w:tplc="AD80928E">
      <w:numFmt w:val="decimal"/>
      <w:lvlText w:val=""/>
      <w:lvlJc w:val="left"/>
    </w:lvl>
  </w:abstractNum>
  <w:abstractNum w:abstractNumId="2" w15:restartNumberingAfterBreak="0">
    <w:nsid w:val="2B494F41"/>
    <w:multiLevelType w:val="hybridMultilevel"/>
    <w:tmpl w:val="FA9A8C1E"/>
    <w:lvl w:ilvl="0" w:tplc="FFFFFFFF">
      <w:start w:val="1"/>
      <w:numFmt w:val="decimal"/>
      <w:lvlText w:val="%1."/>
      <w:lvlJc w:val="left"/>
      <w:pPr>
        <w:ind w:left="480" w:hanging="2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6811F0C"/>
    <w:multiLevelType w:val="hybridMultilevel"/>
    <w:tmpl w:val="FA9A8C1E"/>
    <w:lvl w:ilvl="0" w:tplc="FFFFFFFF">
      <w:start w:val="1"/>
      <w:numFmt w:val="decimal"/>
      <w:lvlText w:val="%1."/>
      <w:lvlJc w:val="left"/>
      <w:pPr>
        <w:ind w:left="480" w:hanging="2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564247A"/>
    <w:multiLevelType w:val="hybridMultilevel"/>
    <w:tmpl w:val="FA9A8C1E"/>
    <w:lvl w:ilvl="0" w:tplc="FFFFFFFF">
      <w:start w:val="1"/>
      <w:numFmt w:val="decimal"/>
      <w:lvlText w:val="%1."/>
      <w:lvlJc w:val="left"/>
      <w:pPr>
        <w:ind w:left="480" w:hanging="2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A8D716F"/>
    <w:multiLevelType w:val="hybridMultilevel"/>
    <w:tmpl w:val="FA9A8C1E"/>
    <w:lvl w:ilvl="0" w:tplc="FDA686E6">
      <w:start w:val="1"/>
      <w:numFmt w:val="decimal"/>
      <w:lvlText w:val="%1."/>
      <w:lvlJc w:val="left"/>
      <w:pPr>
        <w:ind w:left="480" w:hanging="260"/>
      </w:pPr>
    </w:lvl>
    <w:lvl w:ilvl="1" w:tplc="8D5EB9AC">
      <w:numFmt w:val="decimal"/>
      <w:lvlText w:val=""/>
      <w:lvlJc w:val="left"/>
    </w:lvl>
    <w:lvl w:ilvl="2" w:tplc="78920C26">
      <w:numFmt w:val="decimal"/>
      <w:lvlText w:val=""/>
      <w:lvlJc w:val="left"/>
    </w:lvl>
    <w:lvl w:ilvl="3" w:tplc="8730E59C">
      <w:numFmt w:val="decimal"/>
      <w:lvlText w:val=""/>
      <w:lvlJc w:val="left"/>
    </w:lvl>
    <w:lvl w:ilvl="4" w:tplc="27DEC3C0">
      <w:numFmt w:val="decimal"/>
      <w:lvlText w:val=""/>
      <w:lvlJc w:val="left"/>
    </w:lvl>
    <w:lvl w:ilvl="5" w:tplc="41C48286">
      <w:numFmt w:val="decimal"/>
      <w:lvlText w:val=""/>
      <w:lvlJc w:val="left"/>
    </w:lvl>
    <w:lvl w:ilvl="6" w:tplc="E2F69E90">
      <w:numFmt w:val="decimal"/>
      <w:lvlText w:val=""/>
      <w:lvlJc w:val="left"/>
    </w:lvl>
    <w:lvl w:ilvl="7" w:tplc="95B009A4">
      <w:numFmt w:val="decimal"/>
      <w:lvlText w:val=""/>
      <w:lvlJc w:val="left"/>
    </w:lvl>
    <w:lvl w:ilvl="8" w:tplc="2F785BD8">
      <w:numFmt w:val="decimal"/>
      <w:lvlText w:val=""/>
      <w:lvlJc w:val="left"/>
    </w:lvl>
  </w:abstractNum>
  <w:num w:numId="1" w16cid:durableId="724645309">
    <w:abstractNumId w:val="0"/>
    <w:lvlOverride w:ilvl="0">
      <w:startOverride w:val="1"/>
    </w:lvlOverride>
  </w:num>
  <w:num w:numId="2" w16cid:durableId="1866364312">
    <w:abstractNumId w:val="5"/>
    <w:lvlOverride w:ilvl="0">
      <w:startOverride w:val="1"/>
    </w:lvlOverride>
  </w:num>
  <w:num w:numId="3" w16cid:durableId="877552857">
    <w:abstractNumId w:val="5"/>
  </w:num>
  <w:num w:numId="4" w16cid:durableId="1033119818">
    <w:abstractNumId w:val="2"/>
  </w:num>
  <w:num w:numId="5" w16cid:durableId="445083887">
    <w:abstractNumId w:val="4"/>
  </w:num>
  <w:num w:numId="6" w16cid:durableId="1295528001">
    <w:abstractNumId w:val="3"/>
  </w:num>
  <w:num w:numId="7" w16cid:durableId="119257685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defaultTabStop w:val="708"/>
  <w:hyphenationZone w:val="425"/>
  <w:characterSpacingControl w:val="doNotCompress"/>
  <w:updateFields w:val="true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177"/>
    <w:rsid w:val="00076177"/>
    <w:rsid w:val="00096DC4"/>
    <w:rsid w:val="00110903"/>
    <w:rsid w:val="00180C69"/>
    <w:rsid w:val="001C7BE3"/>
    <w:rsid w:val="00222170"/>
    <w:rsid w:val="00256C75"/>
    <w:rsid w:val="002A77C5"/>
    <w:rsid w:val="00355E3C"/>
    <w:rsid w:val="005143CE"/>
    <w:rsid w:val="00585E90"/>
    <w:rsid w:val="005A2987"/>
    <w:rsid w:val="00A43F5F"/>
    <w:rsid w:val="00A62202"/>
    <w:rsid w:val="00A65847"/>
    <w:rsid w:val="00B138F7"/>
    <w:rsid w:val="00D266A6"/>
    <w:rsid w:val="00D5400C"/>
    <w:rsid w:val="00D60F9A"/>
    <w:rsid w:val="00E01A96"/>
    <w:rsid w:val="00E22C46"/>
    <w:rsid w:val="00E30DF4"/>
    <w:rsid w:val="00E72195"/>
    <w:rsid w:val="00F55569"/>
    <w:rsid w:val="00F9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62DD"/>
  <w15:docId w15:val="{7EBD3CD1-6F18-41B9-878A-255D89A9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3" w:eastAsia="Source Sans 3" w:hAnsi="Source Sans 3" w:cs="Source Sans 3"/>
        <w:color w:val="16243A"/>
        <w:lang w:val="de-DE" w:eastAsia="de-DE" w:bidi="ar-SA"/>
      </w:rPr>
    </w:rPrDefault>
    <w:pPrDefault>
      <w:pPr>
        <w:spacing w:after="180" w:line="34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Fliesstext"/>
    <w:uiPriority w:val="9"/>
    <w:qFormat/>
    <w:pPr>
      <w:keepNext/>
      <w:keepLines/>
      <w:suppressAutoHyphens/>
      <w:spacing w:after="300" w:line="260" w:lineRule="auto"/>
      <w:ind w:right="1200"/>
      <w:outlineLvl w:val="0"/>
    </w:pPr>
    <w:rPr>
      <w:rFonts w:ascii="Source Serif 4" w:eastAsia="Source Serif 4" w:hAnsi="Source Serif 4" w:cs="Source Serif 4"/>
      <w:color w:val="0B2239"/>
      <w:sz w:val="40"/>
      <w:szCs w:val="40"/>
    </w:rPr>
  </w:style>
  <w:style w:type="paragraph" w:styleId="berschrift2">
    <w:name w:val="heading 2"/>
    <w:basedOn w:val="Standard"/>
    <w:next w:val="Fliesstext"/>
    <w:uiPriority w:val="9"/>
    <w:qFormat/>
    <w:pPr>
      <w:keepNext/>
      <w:keepLines/>
      <w:suppressAutoHyphens/>
      <w:spacing w:before="440" w:after="160" w:line="260" w:lineRule="auto"/>
      <w:ind w:right="1400"/>
      <w:outlineLvl w:val="1"/>
    </w:pPr>
    <w:rPr>
      <w:rFonts w:ascii="Source Serif 4" w:eastAsia="Source Serif 4" w:hAnsi="Source Serif 4" w:cs="Source Serif 4"/>
      <w:color w:val="0B2239"/>
      <w:sz w:val="28"/>
      <w:szCs w:val="28"/>
    </w:rPr>
  </w:style>
  <w:style w:type="paragraph" w:styleId="berschrift3">
    <w:name w:val="heading 3"/>
    <w:basedOn w:val="Standard"/>
    <w:next w:val="Fliesstext"/>
    <w:uiPriority w:val="9"/>
    <w:qFormat/>
    <w:pPr>
      <w:keepNext/>
      <w:keepLines/>
      <w:suppressAutoHyphens/>
      <w:spacing w:before="340" w:after="120" w:line="280" w:lineRule="auto"/>
      <w:ind w:right="1800"/>
      <w:outlineLvl w:val="2"/>
    </w:pPr>
    <w:rPr>
      <w:b/>
      <w:bCs/>
      <w:color w:val="0B2239"/>
      <w:sz w:val="21"/>
      <w:szCs w:val="21"/>
    </w:rPr>
  </w:style>
  <w:style w:type="paragraph" w:styleId="berschrift4">
    <w:name w:val="heading 4"/>
    <w:basedOn w:val="Standard"/>
    <w:next w:val="Fliesstext"/>
    <w:uiPriority w:val="9"/>
    <w:qFormat/>
    <w:pPr>
      <w:keepNext/>
      <w:keepLines/>
      <w:spacing w:before="280" w:after="100"/>
      <w:outlineLvl w:val="3"/>
    </w:pPr>
    <w:rPr>
      <w:b/>
      <w:bCs/>
      <w:caps/>
      <w:color w:val="8A8475"/>
      <w:spacing w:val="24"/>
      <w:sz w:val="17"/>
      <w:szCs w:val="17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0B2239"/>
    </w:rPr>
  </w:style>
  <w:style w:type="paragraph" w:styleId="berschrift6">
    <w:name w:val="heading 6"/>
    <w:uiPriority w:val="9"/>
    <w:semiHidden/>
    <w:unhideWhenUsed/>
    <w:qFormat/>
    <w:pPr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pPr>
      <w:spacing w:after="0" w:line="240" w:lineRule="auto"/>
    </w:p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pPr>
      <w:spacing w:after="0" w:line="240" w:lineRule="auto"/>
    </w:p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096DC4"/>
    <w:pPr>
      <w:spacing w:after="100" w:line="278" w:lineRule="auto"/>
      <w:ind w:left="72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Verzeichnis5">
    <w:name w:val="toc 5"/>
    <w:basedOn w:val="Standard"/>
    <w:next w:val="Standard"/>
    <w:autoRedefine/>
    <w:uiPriority w:val="39"/>
    <w:unhideWhenUsed/>
    <w:rsid w:val="00096DC4"/>
    <w:pPr>
      <w:spacing w:after="100" w:line="278" w:lineRule="auto"/>
      <w:ind w:left="96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Verzeichnis6">
    <w:name w:val="toc 6"/>
    <w:basedOn w:val="Standard"/>
    <w:next w:val="Standard"/>
    <w:autoRedefine/>
    <w:uiPriority w:val="39"/>
    <w:unhideWhenUsed/>
    <w:rsid w:val="00096DC4"/>
    <w:pPr>
      <w:spacing w:after="100" w:line="278" w:lineRule="auto"/>
      <w:ind w:left="120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Verzeichnis7">
    <w:name w:val="toc 7"/>
    <w:basedOn w:val="Standard"/>
    <w:next w:val="Standard"/>
    <w:autoRedefine/>
    <w:uiPriority w:val="39"/>
    <w:unhideWhenUsed/>
    <w:rsid w:val="00096DC4"/>
    <w:pPr>
      <w:spacing w:after="100" w:line="278" w:lineRule="auto"/>
      <w:ind w:left="144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Verzeichnis8">
    <w:name w:val="toc 8"/>
    <w:basedOn w:val="Standard"/>
    <w:next w:val="Standard"/>
    <w:autoRedefine/>
    <w:uiPriority w:val="39"/>
    <w:unhideWhenUsed/>
    <w:rsid w:val="00096DC4"/>
    <w:pPr>
      <w:spacing w:after="100" w:line="278" w:lineRule="auto"/>
      <w:ind w:left="168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Verzeichnis9">
    <w:name w:val="toc 9"/>
    <w:basedOn w:val="Standard"/>
    <w:next w:val="Standard"/>
    <w:autoRedefine/>
    <w:uiPriority w:val="39"/>
    <w:unhideWhenUsed/>
    <w:rsid w:val="00096DC4"/>
    <w:pPr>
      <w:spacing w:after="100" w:line="278" w:lineRule="auto"/>
      <w:ind w:left="192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6DC4"/>
    <w:rPr>
      <w:color w:val="4A5562"/>
      <w:shd w:val="clear" w:color="auto" w:fill="E4E0D6"/>
    </w:rPr>
  </w:style>
  <w:style w:type="paragraph" w:customStyle="1" w:styleId="Fliesstext">
    <w:name w:val="Fliesstext"/>
    <w:basedOn w:val="Standard"/>
    <w:qFormat/>
    <w:pPr>
      <w:ind w:right="1800"/>
    </w:pPr>
  </w:style>
  <w:style w:type="paragraph" w:customStyle="1" w:styleId="EinleitungLead">
    <w:name w:val="Einleitung · Lead"/>
    <w:basedOn w:val="Standard"/>
    <w:next w:val="Fliesstext"/>
    <w:qFormat/>
    <w:pPr>
      <w:keepNext/>
      <w:spacing w:after="280" w:line="320" w:lineRule="auto"/>
      <w:ind w:right="2600"/>
    </w:pPr>
    <w:rPr>
      <w:rFonts w:ascii="Source Serif 4" w:eastAsia="Source Serif 4" w:hAnsi="Source Serif 4" w:cs="Source Serif 4"/>
      <w:sz w:val="25"/>
      <w:szCs w:val="25"/>
    </w:rPr>
  </w:style>
  <w:style w:type="paragraph" w:customStyle="1" w:styleId="EyebrowLabel">
    <w:name w:val="Eyebrow · Label"/>
    <w:basedOn w:val="Standard"/>
    <w:next w:val="berschrift1"/>
    <w:qFormat/>
    <w:pPr>
      <w:keepNext/>
      <w:keepLines/>
      <w:spacing w:after="120" w:line="240" w:lineRule="auto"/>
    </w:pPr>
    <w:rPr>
      <w:b/>
      <w:bCs/>
      <w:caps/>
      <w:color w:val="0A6BFF"/>
      <w:spacing w:val="28"/>
      <w:sz w:val="18"/>
      <w:szCs w:val="18"/>
    </w:rPr>
  </w:style>
  <w:style w:type="paragraph" w:customStyle="1" w:styleId="Kapitelmarke">
    <w:name w:val="Kapitelmarke"/>
    <w:basedOn w:val="Standard"/>
    <w:next w:val="EyebrowLabel"/>
    <w:qFormat/>
    <w:pPr>
      <w:keepNext/>
      <w:keepLines/>
      <w:pBdr>
        <w:bottom w:val="single" w:sz="18" w:space="1" w:color="0A6BFF"/>
      </w:pBdr>
      <w:spacing w:after="260" w:line="240" w:lineRule="auto"/>
      <w:ind w:right="8239"/>
    </w:pPr>
    <w:rPr>
      <w:sz w:val="8"/>
      <w:szCs w:val="8"/>
    </w:rPr>
  </w:style>
  <w:style w:type="paragraph" w:styleId="Titel">
    <w:name w:val="Title"/>
    <w:basedOn w:val="Standard"/>
    <w:next w:val="Fliesstext"/>
    <w:uiPriority w:val="10"/>
    <w:qFormat/>
    <w:pPr>
      <w:keepNext/>
      <w:suppressAutoHyphens/>
      <w:spacing w:after="240" w:line="240" w:lineRule="auto"/>
    </w:pPr>
    <w:rPr>
      <w:rFonts w:ascii="Source Serif 4" w:eastAsia="Source Serif 4" w:hAnsi="Source Serif 4" w:cs="Source Serif 4"/>
      <w:color w:val="0B2239"/>
      <w:sz w:val="56"/>
      <w:szCs w:val="56"/>
    </w:rPr>
  </w:style>
  <w:style w:type="paragraph" w:customStyle="1" w:styleId="Bildunterschrift">
    <w:name w:val="Bildunterschrift"/>
    <w:basedOn w:val="Standard"/>
    <w:next w:val="Fliesstext"/>
    <w:qFormat/>
    <w:pPr>
      <w:keepLines/>
      <w:spacing w:before="60" w:after="280" w:line="260" w:lineRule="auto"/>
    </w:pPr>
    <w:rPr>
      <w:color w:val="4A5562"/>
      <w:sz w:val="16"/>
      <w:szCs w:val="16"/>
    </w:rPr>
  </w:style>
  <w:style w:type="paragraph" w:customStyle="1" w:styleId="Tabellentext">
    <w:name w:val="Tabellentext"/>
    <w:basedOn w:val="Standard"/>
    <w:qFormat/>
    <w:pPr>
      <w:spacing w:after="0" w:line="270" w:lineRule="auto"/>
    </w:pPr>
    <w:rPr>
      <w:sz w:val="17"/>
      <w:szCs w:val="17"/>
    </w:rPr>
  </w:style>
  <w:style w:type="paragraph" w:customStyle="1" w:styleId="Tabellenkopf">
    <w:name w:val="Tabellenkopf"/>
    <w:basedOn w:val="Standard"/>
    <w:next w:val="Tabellentext"/>
    <w:qFormat/>
    <w:pPr>
      <w:keepNext/>
      <w:spacing w:after="0" w:line="240" w:lineRule="auto"/>
    </w:pPr>
    <w:rPr>
      <w:b/>
      <w:bCs/>
      <w:caps/>
      <w:color w:val="FFFFFF"/>
      <w:spacing w:val="22"/>
      <w:sz w:val="16"/>
      <w:szCs w:val="16"/>
    </w:rPr>
  </w:style>
  <w:style w:type="paragraph" w:customStyle="1" w:styleId="HinweisKarte">
    <w:name w:val="Hinweis · Karte"/>
    <w:basedOn w:val="Standard"/>
    <w:next w:val="Fliesstext"/>
    <w:qFormat/>
    <w:pPr>
      <w:keepLines/>
      <w:pBdr>
        <w:top w:val="single" w:sz="4" w:space="8" w:color="E4E0D6"/>
        <w:left w:val="single" w:sz="18" w:space="10" w:color="0A6BFF"/>
        <w:bottom w:val="single" w:sz="4" w:space="8" w:color="E4E0D6"/>
        <w:right w:val="single" w:sz="4" w:space="8" w:color="E4E0D6"/>
      </w:pBdr>
      <w:shd w:val="clear" w:color="auto" w:fill="FBFAF6"/>
      <w:spacing w:before="280" w:after="300" w:line="320" w:lineRule="auto"/>
      <w:ind w:left="220" w:right="1800"/>
    </w:pPr>
    <w:rPr>
      <w:sz w:val="19"/>
      <w:szCs w:val="19"/>
    </w:rPr>
  </w:style>
  <w:style w:type="paragraph" w:styleId="Listenabsatz">
    <w:name w:val="List Paragraph"/>
    <w:basedOn w:val="Standard"/>
    <w:next w:val="Fliesstext"/>
    <w:qFormat/>
    <w:pPr>
      <w:spacing w:after="120" w:line="330" w:lineRule="auto"/>
      <w:ind w:left="320" w:right="1800" w:hanging="200"/>
    </w:pPr>
  </w:style>
  <w:style w:type="paragraph" w:styleId="Verzeichnis1">
    <w:name w:val="toc 1"/>
    <w:basedOn w:val="Standard"/>
    <w:next w:val="Standard"/>
    <w:uiPriority w:val="39"/>
    <w:pPr>
      <w:tabs>
        <w:tab w:val="right" w:leader="dot" w:pos="9639"/>
      </w:tabs>
      <w:spacing w:before="200" w:after="60" w:line="260" w:lineRule="auto"/>
    </w:pPr>
    <w:rPr>
      <w:rFonts w:ascii="Source Serif 4" w:eastAsia="Source Serif 4" w:hAnsi="Source Serif 4" w:cs="Source Serif 4"/>
      <w:color w:val="0B2239"/>
      <w:sz w:val="21"/>
      <w:szCs w:val="21"/>
    </w:rPr>
  </w:style>
  <w:style w:type="paragraph" w:styleId="Verzeichnis2">
    <w:name w:val="toc 2"/>
    <w:basedOn w:val="Standard"/>
    <w:next w:val="Standard"/>
    <w:uiPriority w:val="39"/>
    <w:pPr>
      <w:tabs>
        <w:tab w:val="right" w:leader="dot" w:pos="9639"/>
      </w:tabs>
      <w:spacing w:after="40" w:line="250" w:lineRule="auto"/>
      <w:ind w:left="280"/>
    </w:pPr>
    <w:rPr>
      <w:sz w:val="18"/>
      <w:szCs w:val="18"/>
    </w:rPr>
  </w:style>
  <w:style w:type="paragraph" w:styleId="Verzeichnis3">
    <w:name w:val="toc 3"/>
    <w:basedOn w:val="Standard"/>
    <w:next w:val="Standard"/>
    <w:uiPriority w:val="39"/>
    <w:pPr>
      <w:tabs>
        <w:tab w:val="right" w:leader="dot" w:pos="9639"/>
      </w:tabs>
      <w:spacing w:after="40" w:line="250" w:lineRule="auto"/>
      <w:ind w:left="560"/>
    </w:pPr>
    <w:rPr>
      <w:color w:val="4A5562"/>
      <w:sz w:val="17"/>
      <w:szCs w:val="17"/>
    </w:rPr>
  </w:style>
  <w:style w:type="character" w:styleId="Hyperlink">
    <w:name w:val="Hyperlink"/>
    <w:uiPriority w:val="99"/>
    <w:rPr>
      <w:color w:val="0A6BFF"/>
      <w:u w:val="none"/>
    </w:rPr>
  </w:style>
  <w:style w:type="character" w:customStyle="1" w:styleId="Fett1">
    <w:name w:val="Fett1"/>
    <w:qFormat/>
    <w:rPr>
      <w:b/>
      <w:bCs/>
      <w:color w:val="0B2239"/>
    </w:rPr>
  </w:style>
  <w:style w:type="character" w:customStyle="1" w:styleId="Akzentkontool-Blau">
    <w:name w:val="Akzent · kontool-Blau"/>
    <w:qFormat/>
    <w:rPr>
      <w:b/>
      <w:bCs/>
      <w:color w:val="0A6BFF"/>
    </w:rPr>
  </w:style>
  <w:style w:type="paragraph" w:customStyle="1" w:styleId="Kopfzeilekontool">
    <w:name w:val="Kopfzeile kontool"/>
    <w:basedOn w:val="Standard"/>
    <w:pPr>
      <w:tabs>
        <w:tab w:val="right" w:pos="9639"/>
      </w:tabs>
      <w:spacing w:after="0" w:line="240" w:lineRule="auto"/>
    </w:pPr>
    <w:rPr>
      <w:color w:val="4A5562"/>
      <w:sz w:val="15"/>
      <w:szCs w:val="15"/>
    </w:rPr>
  </w:style>
  <w:style w:type="paragraph" w:customStyle="1" w:styleId="Fusszeilekontool">
    <w:name w:val="Fusszeile kontool"/>
    <w:basedOn w:val="Standard"/>
    <w:pPr>
      <w:pBdr>
        <w:top w:val="single" w:sz="4" w:space="8" w:color="E4E0D6"/>
      </w:pBdr>
      <w:tabs>
        <w:tab w:val="right" w:pos="9639"/>
      </w:tabs>
      <w:spacing w:after="0" w:line="240" w:lineRule="auto"/>
    </w:pPr>
    <w:rPr>
      <w:color w:val="4A5562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231" Type="http://schemas.openxmlformats.org/officeDocument/2006/relationships/image" Target="media/image225.jpg"/><Relationship Id="rId232" Type="http://schemas.openxmlformats.org/officeDocument/2006/relationships/image" Target="media/image226.jpg"/><Relationship Id="rId233" Type="http://schemas.openxmlformats.org/officeDocument/2006/relationships/image" Target="media/image227.jpg"/><Relationship Id="rId234" Type="http://schemas.openxmlformats.org/officeDocument/2006/relationships/image" Target="media/image228.jpg"/><Relationship Id="rId235" Type="http://schemas.openxmlformats.org/officeDocument/2006/relationships/image" Target="media/image229.jpg"/><Relationship Id="rId236" Type="http://schemas.openxmlformats.org/officeDocument/2006/relationships/image" Target="media/image230.jpg"/><Relationship Id="rId237" Type="http://schemas.openxmlformats.org/officeDocument/2006/relationships/image" Target="media/image231.jpg"/><Relationship Id="rId238" Type="http://schemas.openxmlformats.org/officeDocument/2006/relationships/image" Target="media/image232.jpg"/><Relationship Id="rId239" Type="http://schemas.openxmlformats.org/officeDocument/2006/relationships/image" Target="media/image233.jpg"/><Relationship Id="rId262" Type="http://schemas.openxmlformats.org/officeDocument/2006/relationships/header" Target="header1.xml"/><Relationship Id="rId263" Type="http://schemas.openxmlformats.org/officeDocument/2006/relationships/footer" Target="footer1.xml"/><Relationship Id="rId264" Type="http://schemas.openxmlformats.org/officeDocument/2006/relationships/fontTable" Target="fontTable.xml"/><Relationship Id="rId265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Source Serif 4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Source Sans 3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182</Pages>
  <Words>30923</Words>
  <Characters>194821</Characters>
  <Application>Microsoft Office Word</Application>
  <DocSecurity>0</DocSecurity>
  <Lines>1623</Lines>
  <Paragraphs>450</Paragraphs>
  <ScaleCrop>false</ScaleCrop>
  <Company/>
  <LinksUpToDate>false</LinksUpToDate>
  <CharactersWithSpaces>225294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kontool · Benutzerhandbuch – Kapitel 13: K360° Präsentation</dc:title>
  <dc:subject>Benutzerhandbuch kontool – Vollversion</dc:subject>
  <dc:creator>kantiko GmbH</dc:creator>
  <dc:description>Gestaltet nach kontool Brand Guidelines 2026 (Corporate Design, Vollversion).</dc:description>
  <cp:lastModifiedBy>Benjamin Panke</cp:lastModifiedBy>
  <cp:revision>12</cp:revision>
  <dcterms:created xsi:type="dcterms:W3CDTF">2026-08-03T15:13:00Z</dcterms:created>
  <dcterms:modified xsi:type="dcterms:W3CDTF">2026-08-12T12:25:00Z</dcterms:modified>
</cp:coreProperties>
</file>